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C" w:rsidRDefault="009843EC" w:rsidP="009843EC">
      <w:pPr>
        <w:tabs>
          <w:tab w:val="left" w:pos="2160"/>
        </w:tabs>
        <w:jc w:val="center"/>
        <w:rPr>
          <w:rFonts w:cs="Arial"/>
          <w:b/>
          <w:sz w:val="32"/>
          <w:szCs w:val="32"/>
        </w:rPr>
      </w:pPr>
      <w:bookmarkStart w:id="0" w:name="_GoBack"/>
      <w:bookmarkEnd w:id="0"/>
    </w:p>
    <w:p w:rsidR="009843EC" w:rsidRPr="00E82C25" w:rsidRDefault="009843EC" w:rsidP="009843EC">
      <w:pPr>
        <w:tabs>
          <w:tab w:val="left" w:pos="2160"/>
        </w:tabs>
        <w:jc w:val="center"/>
        <w:rPr>
          <w:rFonts w:cs="Arial"/>
          <w:b/>
          <w:sz w:val="32"/>
          <w:szCs w:val="32"/>
        </w:rPr>
      </w:pPr>
      <w:r w:rsidRPr="00E82C25">
        <w:rPr>
          <w:rFonts w:cs="Arial"/>
          <w:b/>
          <w:sz w:val="32"/>
          <w:szCs w:val="32"/>
        </w:rPr>
        <w:t xml:space="preserve">Contract Correspondence Transmittal </w:t>
      </w:r>
      <w:r>
        <w:rPr>
          <w:rFonts w:cs="Arial"/>
          <w:b/>
          <w:sz w:val="32"/>
          <w:szCs w:val="32"/>
        </w:rPr>
        <w:t>(CCT)</w:t>
      </w:r>
    </w:p>
    <w:p w:rsidR="009843EC" w:rsidRPr="00EA78C9" w:rsidRDefault="009843EC" w:rsidP="009843EC">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585"/>
      </w:tblGrid>
      <w:tr w:rsidR="009843EC" w:rsidRPr="000A1707" w:rsidTr="00D44466">
        <w:trPr>
          <w:trHeight w:val="323"/>
        </w:trPr>
        <w:tc>
          <w:tcPr>
            <w:tcW w:w="5344" w:type="dxa"/>
          </w:tcPr>
          <w:p w:rsidR="009843EC" w:rsidRPr="000A1707" w:rsidRDefault="009843EC" w:rsidP="00A6596E">
            <w:pPr>
              <w:tabs>
                <w:tab w:val="left" w:pos="2160"/>
              </w:tabs>
              <w:rPr>
                <w:rFonts w:cs="Arial"/>
                <w:szCs w:val="22"/>
              </w:rPr>
            </w:pPr>
            <w:r w:rsidRPr="000A1707">
              <w:rPr>
                <w:rFonts w:cs="Arial"/>
                <w:b/>
                <w:szCs w:val="22"/>
              </w:rPr>
              <w:t xml:space="preserve">CCT Number:  </w:t>
            </w:r>
            <w:r>
              <w:rPr>
                <w:rFonts w:cs="Arial"/>
                <w:szCs w:val="22"/>
              </w:rPr>
              <w:t>12-</w:t>
            </w:r>
            <w:r w:rsidR="005E37B5">
              <w:rPr>
                <w:rFonts w:cs="Arial"/>
                <w:szCs w:val="22"/>
              </w:rPr>
              <w:t>1</w:t>
            </w:r>
            <w:r w:rsidR="00814B8C">
              <w:rPr>
                <w:rFonts w:cs="Arial"/>
                <w:szCs w:val="22"/>
              </w:rPr>
              <w:t>2</w:t>
            </w:r>
          </w:p>
        </w:tc>
        <w:tc>
          <w:tcPr>
            <w:tcW w:w="5585" w:type="dxa"/>
          </w:tcPr>
          <w:p w:rsidR="009843EC" w:rsidRPr="000A1707" w:rsidRDefault="009843EC" w:rsidP="005E37B5">
            <w:pPr>
              <w:tabs>
                <w:tab w:val="left" w:pos="2160"/>
              </w:tabs>
              <w:rPr>
                <w:rFonts w:cs="Arial"/>
                <w:b/>
                <w:szCs w:val="22"/>
              </w:rPr>
            </w:pPr>
            <w:r w:rsidRPr="000A1707">
              <w:rPr>
                <w:rFonts w:cs="Arial"/>
                <w:b/>
                <w:szCs w:val="22"/>
              </w:rPr>
              <w:t xml:space="preserve">Date of Issue:  </w:t>
            </w:r>
            <w:r w:rsidR="0040043A">
              <w:rPr>
                <w:rFonts w:cs="Arial"/>
                <w:szCs w:val="22"/>
              </w:rPr>
              <w:t>October 26</w:t>
            </w:r>
            <w:r>
              <w:rPr>
                <w:rFonts w:cs="Arial"/>
                <w:szCs w:val="22"/>
              </w:rPr>
              <w:t>, 2012</w:t>
            </w:r>
          </w:p>
        </w:tc>
      </w:tr>
      <w:tr w:rsidR="009843EC" w:rsidRPr="000A1707" w:rsidTr="00D44466">
        <w:trPr>
          <w:trHeight w:val="350"/>
        </w:trPr>
        <w:tc>
          <w:tcPr>
            <w:tcW w:w="10929" w:type="dxa"/>
            <w:gridSpan w:val="2"/>
          </w:tcPr>
          <w:p w:rsidR="009843EC" w:rsidRPr="000A1707" w:rsidRDefault="009843EC" w:rsidP="006417C2">
            <w:pPr>
              <w:tabs>
                <w:tab w:val="left" w:pos="2160"/>
              </w:tabs>
              <w:rPr>
                <w:rFonts w:cs="Arial"/>
                <w:szCs w:val="22"/>
              </w:rPr>
            </w:pPr>
            <w:r w:rsidRPr="000A1707">
              <w:rPr>
                <w:rFonts w:cs="Arial"/>
                <w:b/>
                <w:szCs w:val="22"/>
              </w:rPr>
              <w:t xml:space="preserve">Division/Branch:  </w:t>
            </w:r>
            <w:r w:rsidRPr="000A1707">
              <w:rPr>
                <w:rFonts w:cs="Arial"/>
                <w:szCs w:val="22"/>
              </w:rPr>
              <w:t>Protection and Permanency</w:t>
            </w:r>
          </w:p>
        </w:tc>
      </w:tr>
      <w:tr w:rsidR="009843EC" w:rsidRPr="000A1707" w:rsidTr="00D44466">
        <w:trPr>
          <w:trHeight w:val="350"/>
        </w:trPr>
        <w:tc>
          <w:tcPr>
            <w:tcW w:w="10929" w:type="dxa"/>
            <w:gridSpan w:val="2"/>
          </w:tcPr>
          <w:p w:rsidR="009843EC" w:rsidRPr="000A1707" w:rsidRDefault="009843EC" w:rsidP="00C71490">
            <w:pPr>
              <w:tabs>
                <w:tab w:val="left" w:pos="2160"/>
              </w:tabs>
              <w:rPr>
                <w:rFonts w:cs="Arial"/>
                <w:szCs w:val="22"/>
              </w:rPr>
            </w:pPr>
            <w:r w:rsidRPr="000A1707">
              <w:rPr>
                <w:rFonts w:cs="Arial"/>
                <w:b/>
                <w:szCs w:val="22"/>
              </w:rPr>
              <w:t>Key Words/Phrases</w:t>
            </w:r>
            <w:r w:rsidRPr="00193944">
              <w:rPr>
                <w:rFonts w:cs="Arial"/>
                <w:b/>
                <w:szCs w:val="22"/>
              </w:rPr>
              <w:t xml:space="preserve">: </w:t>
            </w:r>
            <w:r w:rsidRPr="00266687">
              <w:rPr>
                <w:rFonts w:cs="Arial"/>
                <w:szCs w:val="22"/>
              </w:rPr>
              <w:t xml:space="preserve"> </w:t>
            </w:r>
            <w:r w:rsidR="00C71490">
              <w:rPr>
                <w:rFonts w:cs="Arial"/>
                <w:szCs w:val="22"/>
              </w:rPr>
              <w:t>Insurance Process for Youth on Extended Commitment</w:t>
            </w:r>
          </w:p>
        </w:tc>
      </w:tr>
    </w:tbl>
    <w:p w:rsidR="009843EC" w:rsidRDefault="009843EC" w:rsidP="009843EC"/>
    <w:p w:rsidR="009843EC" w:rsidRDefault="00D44466" w:rsidP="006417C2">
      <w:pPr>
        <w:rPr>
          <w:rFonts w:cs="Arial"/>
          <w:sz w:val="24"/>
        </w:rPr>
      </w:pPr>
      <w:r w:rsidRPr="005A7618">
        <w:rPr>
          <w:rFonts w:cs="Arial"/>
          <w:sz w:val="24"/>
        </w:rPr>
        <w:t>Dear PCP</w:t>
      </w:r>
      <w:r w:rsidR="00C71490">
        <w:rPr>
          <w:rFonts w:cs="Arial"/>
          <w:sz w:val="24"/>
        </w:rPr>
        <w:t>/PCC</w:t>
      </w:r>
      <w:r w:rsidRPr="005A7618">
        <w:rPr>
          <w:rFonts w:cs="Arial"/>
          <w:sz w:val="24"/>
        </w:rPr>
        <w:t xml:space="preserve"> Provider,</w:t>
      </w:r>
    </w:p>
    <w:p w:rsidR="007621F7" w:rsidRDefault="007621F7" w:rsidP="006417C2">
      <w:pPr>
        <w:rPr>
          <w:rFonts w:cs="Arial"/>
          <w:sz w:val="24"/>
        </w:rPr>
      </w:pPr>
    </w:p>
    <w:p w:rsidR="007621F7" w:rsidRDefault="007621F7" w:rsidP="006417C2">
      <w:pPr>
        <w:rPr>
          <w:rFonts w:cs="Arial"/>
          <w:sz w:val="24"/>
        </w:rPr>
      </w:pPr>
      <w:r>
        <w:rPr>
          <w:rFonts w:cs="Arial"/>
          <w:sz w:val="24"/>
        </w:rPr>
        <w:t xml:space="preserve">The insurance process for youth beyond </w:t>
      </w:r>
      <w:r w:rsidR="000A14BD">
        <w:rPr>
          <w:rFonts w:cs="Arial"/>
          <w:sz w:val="24"/>
        </w:rPr>
        <w:t xml:space="preserve">age </w:t>
      </w:r>
      <w:r>
        <w:rPr>
          <w:rFonts w:cs="Arial"/>
          <w:sz w:val="24"/>
        </w:rPr>
        <w:t>19</w:t>
      </w:r>
      <w:r w:rsidR="000A14BD">
        <w:rPr>
          <w:rFonts w:cs="Arial"/>
          <w:sz w:val="24"/>
        </w:rPr>
        <w:t>,</w:t>
      </w:r>
      <w:r>
        <w:rPr>
          <w:rFonts w:cs="Arial"/>
          <w:sz w:val="24"/>
        </w:rPr>
        <w:t xml:space="preserve"> who remain in the custody of the Cabinet on extended commitment, is as follows.</w:t>
      </w:r>
    </w:p>
    <w:p w:rsidR="006B377A" w:rsidRDefault="006B377A" w:rsidP="006417C2">
      <w:pPr>
        <w:rPr>
          <w:rFonts w:cs="Arial"/>
          <w:sz w:val="24"/>
        </w:rPr>
      </w:pPr>
    </w:p>
    <w:p w:rsidR="007621F7" w:rsidRDefault="000A14BD" w:rsidP="007621F7">
      <w:pPr>
        <w:pStyle w:val="ListParagraph"/>
        <w:numPr>
          <w:ilvl w:val="0"/>
          <w:numId w:val="13"/>
        </w:numPr>
        <w:rPr>
          <w:rFonts w:cs="Arial"/>
          <w:sz w:val="24"/>
        </w:rPr>
      </w:pPr>
      <w:r>
        <w:rPr>
          <w:rFonts w:cs="Arial"/>
          <w:sz w:val="24"/>
        </w:rPr>
        <w:t>DCBS social worker/billing specialist/child benefits w</w:t>
      </w:r>
      <w:r w:rsidR="007621F7">
        <w:rPr>
          <w:rFonts w:cs="Arial"/>
          <w:sz w:val="24"/>
        </w:rPr>
        <w:t>orker shall notify Division of Administration and Financial Management (DAFM)</w:t>
      </w:r>
      <w:r w:rsidR="006B377A">
        <w:rPr>
          <w:rFonts w:cs="Arial"/>
          <w:sz w:val="24"/>
        </w:rPr>
        <w:t xml:space="preserve"> prior to the</w:t>
      </w:r>
      <w:r>
        <w:rPr>
          <w:rFonts w:cs="Arial"/>
          <w:sz w:val="24"/>
        </w:rPr>
        <w:t xml:space="preserve"> youth’s 19th</w:t>
      </w:r>
      <w:r w:rsidR="006B377A">
        <w:rPr>
          <w:rFonts w:cs="Arial"/>
          <w:sz w:val="24"/>
        </w:rPr>
        <w:t xml:space="preserve"> birthday.  DAFM will then send a packet with instructions to be completed and scanned back to DAFM. </w:t>
      </w:r>
    </w:p>
    <w:p w:rsidR="006B377A" w:rsidRDefault="00494476" w:rsidP="007621F7">
      <w:pPr>
        <w:pStyle w:val="ListParagraph"/>
        <w:numPr>
          <w:ilvl w:val="0"/>
          <w:numId w:val="13"/>
        </w:numPr>
        <w:rPr>
          <w:rFonts w:cs="Arial"/>
          <w:sz w:val="24"/>
        </w:rPr>
      </w:pPr>
      <w:r>
        <w:rPr>
          <w:rFonts w:cs="Arial"/>
          <w:sz w:val="24"/>
        </w:rPr>
        <w:t>DAFM sends</w:t>
      </w:r>
      <w:r w:rsidR="006B377A">
        <w:rPr>
          <w:rFonts w:cs="Arial"/>
          <w:sz w:val="24"/>
        </w:rPr>
        <w:t xml:space="preserve"> the application to Anthem for approval of the Premier Plus Plan.</w:t>
      </w:r>
    </w:p>
    <w:p w:rsidR="006B377A" w:rsidRDefault="006B377A" w:rsidP="006B377A">
      <w:pPr>
        <w:pStyle w:val="ListParagraph"/>
        <w:numPr>
          <w:ilvl w:val="1"/>
          <w:numId w:val="13"/>
        </w:numPr>
        <w:rPr>
          <w:rFonts w:cs="Arial"/>
          <w:sz w:val="24"/>
        </w:rPr>
      </w:pPr>
      <w:r>
        <w:rPr>
          <w:rFonts w:cs="Arial"/>
          <w:sz w:val="24"/>
        </w:rPr>
        <w:t xml:space="preserve">The application cannot be submitted to Anthem until at least one day after the </w:t>
      </w:r>
      <w:r w:rsidR="000A14BD">
        <w:rPr>
          <w:rFonts w:cs="Arial"/>
          <w:sz w:val="24"/>
        </w:rPr>
        <w:t xml:space="preserve">youth’s </w:t>
      </w:r>
      <w:r>
        <w:rPr>
          <w:rFonts w:cs="Arial"/>
          <w:sz w:val="24"/>
        </w:rPr>
        <w:t>19</w:t>
      </w:r>
      <w:r w:rsidRPr="006B377A">
        <w:rPr>
          <w:rFonts w:cs="Arial"/>
          <w:sz w:val="24"/>
          <w:vertAlign w:val="superscript"/>
        </w:rPr>
        <w:t>th</w:t>
      </w:r>
      <w:r>
        <w:rPr>
          <w:rFonts w:cs="Arial"/>
          <w:sz w:val="24"/>
        </w:rPr>
        <w:t xml:space="preserve"> birthday. </w:t>
      </w:r>
    </w:p>
    <w:p w:rsidR="006B377A" w:rsidRDefault="00DE6A0B" w:rsidP="006B377A">
      <w:pPr>
        <w:pStyle w:val="ListParagraph"/>
        <w:numPr>
          <w:ilvl w:val="1"/>
          <w:numId w:val="13"/>
        </w:numPr>
        <w:rPr>
          <w:rFonts w:cs="Arial"/>
          <w:sz w:val="24"/>
        </w:rPr>
      </w:pPr>
      <w:r>
        <w:rPr>
          <w:rFonts w:cs="Arial"/>
          <w:sz w:val="24"/>
        </w:rPr>
        <w:t>The Anthem</w:t>
      </w:r>
      <w:r w:rsidR="006B377A">
        <w:rPr>
          <w:rFonts w:cs="Arial"/>
          <w:sz w:val="24"/>
        </w:rPr>
        <w:t xml:space="preserve"> Premier Plan has a $500 deductible.</w:t>
      </w:r>
    </w:p>
    <w:p w:rsidR="006B377A" w:rsidRDefault="006B377A" w:rsidP="006B377A">
      <w:pPr>
        <w:pStyle w:val="ListParagraph"/>
        <w:numPr>
          <w:ilvl w:val="1"/>
          <w:numId w:val="13"/>
        </w:numPr>
        <w:rPr>
          <w:rFonts w:cs="Arial"/>
          <w:sz w:val="24"/>
        </w:rPr>
      </w:pPr>
      <w:r>
        <w:rPr>
          <w:rFonts w:cs="Arial"/>
          <w:sz w:val="24"/>
        </w:rPr>
        <w:t>The approval/denial process with Anthem takes approximately 2-4 weeks.</w:t>
      </w:r>
    </w:p>
    <w:p w:rsidR="006B377A" w:rsidRDefault="006B377A" w:rsidP="006B377A">
      <w:pPr>
        <w:pStyle w:val="ListParagraph"/>
        <w:numPr>
          <w:ilvl w:val="1"/>
          <w:numId w:val="13"/>
        </w:numPr>
        <w:rPr>
          <w:rFonts w:cs="Arial"/>
          <w:sz w:val="24"/>
        </w:rPr>
      </w:pPr>
      <w:r>
        <w:rPr>
          <w:rFonts w:cs="Arial"/>
          <w:sz w:val="24"/>
        </w:rPr>
        <w:t>If the youth is approved for the Anthem Premier Plus Plan, DAFM is notified by Anthem</w:t>
      </w:r>
      <w:r w:rsidR="000A14BD">
        <w:rPr>
          <w:rFonts w:cs="Arial"/>
          <w:sz w:val="24"/>
        </w:rPr>
        <w:t>.  DAFM then notifies the DCBS social w</w:t>
      </w:r>
      <w:r>
        <w:rPr>
          <w:rFonts w:cs="Arial"/>
          <w:sz w:val="24"/>
        </w:rPr>
        <w:t xml:space="preserve">orker and advises that the ‘Welcome Packet’ will be arriving soon. </w:t>
      </w:r>
    </w:p>
    <w:p w:rsidR="006B377A" w:rsidRDefault="006B377A" w:rsidP="006B377A">
      <w:pPr>
        <w:pStyle w:val="ListParagraph"/>
        <w:numPr>
          <w:ilvl w:val="1"/>
          <w:numId w:val="13"/>
        </w:numPr>
        <w:rPr>
          <w:rFonts w:cs="Arial"/>
          <w:sz w:val="24"/>
        </w:rPr>
      </w:pPr>
      <w:r>
        <w:rPr>
          <w:rFonts w:cs="Arial"/>
          <w:sz w:val="24"/>
        </w:rPr>
        <w:t>Upon approval, Anthem places youth on a billing list which</w:t>
      </w:r>
      <w:r w:rsidR="000A14BD">
        <w:rPr>
          <w:rFonts w:cs="Arial"/>
          <w:sz w:val="24"/>
        </w:rPr>
        <w:t xml:space="preserve"> is set up by the DCBS billing s</w:t>
      </w:r>
      <w:r>
        <w:rPr>
          <w:rFonts w:cs="Arial"/>
          <w:sz w:val="24"/>
        </w:rPr>
        <w:t>pecialist in the region.</w:t>
      </w:r>
    </w:p>
    <w:p w:rsidR="00092124" w:rsidRDefault="00092124" w:rsidP="00092124">
      <w:pPr>
        <w:pStyle w:val="ListParagraph"/>
        <w:numPr>
          <w:ilvl w:val="0"/>
          <w:numId w:val="13"/>
        </w:numPr>
        <w:rPr>
          <w:rFonts w:cs="Arial"/>
          <w:sz w:val="24"/>
        </w:rPr>
      </w:pPr>
      <w:r>
        <w:rPr>
          <w:rFonts w:cs="Arial"/>
          <w:sz w:val="24"/>
        </w:rPr>
        <w:t>If Anthem denies acceptance, the application is sent to Kentucky Access.</w:t>
      </w:r>
    </w:p>
    <w:p w:rsidR="00092124" w:rsidRDefault="00092124" w:rsidP="00092124">
      <w:pPr>
        <w:pStyle w:val="ListParagraph"/>
        <w:numPr>
          <w:ilvl w:val="1"/>
          <w:numId w:val="13"/>
        </w:numPr>
        <w:rPr>
          <w:rFonts w:cs="Arial"/>
          <w:sz w:val="24"/>
        </w:rPr>
      </w:pPr>
      <w:r>
        <w:rPr>
          <w:rFonts w:cs="Arial"/>
          <w:sz w:val="24"/>
        </w:rPr>
        <w:t>No child is denied insurance through Kentucky Access.</w:t>
      </w:r>
    </w:p>
    <w:p w:rsidR="00494476" w:rsidRPr="00494476" w:rsidRDefault="00494476" w:rsidP="00494476">
      <w:pPr>
        <w:pStyle w:val="ListParagraph"/>
        <w:numPr>
          <w:ilvl w:val="1"/>
          <w:numId w:val="13"/>
        </w:numPr>
        <w:rPr>
          <w:rFonts w:cs="Arial"/>
          <w:sz w:val="24"/>
        </w:rPr>
      </w:pPr>
      <w:r>
        <w:rPr>
          <w:rFonts w:cs="Arial"/>
          <w:sz w:val="24"/>
        </w:rPr>
        <w:t>The approval process with Kentucky Access takes approximately 3-4 weeks.</w:t>
      </w:r>
    </w:p>
    <w:p w:rsidR="00092124" w:rsidRDefault="00092124" w:rsidP="00092124">
      <w:pPr>
        <w:pStyle w:val="ListParagraph"/>
        <w:numPr>
          <w:ilvl w:val="1"/>
          <w:numId w:val="13"/>
        </w:numPr>
        <w:rPr>
          <w:rFonts w:cs="Arial"/>
          <w:sz w:val="24"/>
        </w:rPr>
      </w:pPr>
      <w:r>
        <w:rPr>
          <w:rFonts w:cs="Arial"/>
          <w:sz w:val="24"/>
        </w:rPr>
        <w:t xml:space="preserve">The </w:t>
      </w:r>
      <w:r w:rsidR="000A14BD">
        <w:rPr>
          <w:rFonts w:cs="Arial"/>
          <w:sz w:val="24"/>
        </w:rPr>
        <w:t>Kentucky</w:t>
      </w:r>
      <w:r w:rsidR="00DE6A0B">
        <w:rPr>
          <w:rFonts w:cs="Arial"/>
          <w:sz w:val="24"/>
        </w:rPr>
        <w:t xml:space="preserve"> Access </w:t>
      </w:r>
      <w:r>
        <w:rPr>
          <w:rFonts w:cs="Arial"/>
          <w:sz w:val="24"/>
        </w:rPr>
        <w:t xml:space="preserve">Premier Access (PPO) plan has a $550/$1,000 deductible.  </w:t>
      </w:r>
    </w:p>
    <w:p w:rsidR="00092124" w:rsidRDefault="00092124" w:rsidP="00092124">
      <w:pPr>
        <w:pStyle w:val="ListParagraph"/>
        <w:numPr>
          <w:ilvl w:val="1"/>
          <w:numId w:val="13"/>
        </w:numPr>
        <w:rPr>
          <w:rFonts w:cs="Arial"/>
          <w:sz w:val="24"/>
        </w:rPr>
      </w:pPr>
      <w:r>
        <w:rPr>
          <w:rFonts w:cs="Arial"/>
          <w:sz w:val="24"/>
        </w:rPr>
        <w:t>The Pharmacy Rider is also added to the Premier Access Plan.</w:t>
      </w:r>
    </w:p>
    <w:p w:rsidR="00092124" w:rsidRDefault="00092124" w:rsidP="00092124">
      <w:pPr>
        <w:pStyle w:val="ListParagraph"/>
        <w:numPr>
          <w:ilvl w:val="1"/>
          <w:numId w:val="13"/>
        </w:numPr>
        <w:rPr>
          <w:rFonts w:cs="Arial"/>
          <w:sz w:val="24"/>
        </w:rPr>
      </w:pPr>
      <w:r>
        <w:rPr>
          <w:rFonts w:cs="Arial"/>
          <w:sz w:val="24"/>
        </w:rPr>
        <w:t>Upon approval, Kentucky Access sends a ‘Welcome Packet’ to DAFM.</w:t>
      </w:r>
    </w:p>
    <w:p w:rsidR="00092124" w:rsidRDefault="00092124" w:rsidP="00092124">
      <w:pPr>
        <w:pStyle w:val="ListParagraph"/>
        <w:numPr>
          <w:ilvl w:val="1"/>
          <w:numId w:val="13"/>
        </w:numPr>
        <w:rPr>
          <w:rFonts w:cs="Arial"/>
          <w:sz w:val="24"/>
        </w:rPr>
      </w:pPr>
      <w:r>
        <w:rPr>
          <w:rFonts w:cs="Arial"/>
          <w:sz w:val="24"/>
        </w:rPr>
        <w:lastRenderedPageBreak/>
        <w:t>DAFM then forwards th</w:t>
      </w:r>
      <w:r w:rsidR="000A14BD">
        <w:rPr>
          <w:rFonts w:cs="Arial"/>
          <w:sz w:val="24"/>
        </w:rPr>
        <w:t>e ‘Welcome Packet’ to the DCBS social worker, billing s</w:t>
      </w:r>
      <w:r>
        <w:rPr>
          <w:rFonts w:cs="Arial"/>
          <w:sz w:val="24"/>
        </w:rPr>
        <w:t xml:space="preserve">pecialist, and the youth.  </w:t>
      </w:r>
    </w:p>
    <w:p w:rsidR="00092124" w:rsidRDefault="00092124" w:rsidP="00092124">
      <w:pPr>
        <w:rPr>
          <w:rFonts w:cs="Arial"/>
          <w:sz w:val="24"/>
        </w:rPr>
      </w:pPr>
      <w:r>
        <w:rPr>
          <w:rFonts w:cs="Arial"/>
          <w:sz w:val="24"/>
        </w:rPr>
        <w:t>DAFM pays the mont</w:t>
      </w:r>
      <w:r w:rsidR="00494476">
        <w:rPr>
          <w:rFonts w:cs="Arial"/>
          <w:sz w:val="24"/>
        </w:rPr>
        <w:t xml:space="preserve">hly premiums for both </w:t>
      </w:r>
      <w:r w:rsidR="00DE6A0B">
        <w:rPr>
          <w:rFonts w:cs="Arial"/>
          <w:sz w:val="24"/>
        </w:rPr>
        <w:t>plans cited above</w:t>
      </w:r>
      <w:r>
        <w:rPr>
          <w:rFonts w:cs="Arial"/>
          <w:sz w:val="24"/>
        </w:rPr>
        <w:t>.  Each yo</w:t>
      </w:r>
      <w:r w:rsidR="00DE6A0B">
        <w:rPr>
          <w:rFonts w:cs="Arial"/>
          <w:sz w:val="24"/>
        </w:rPr>
        <w:t>uth on either of the</w:t>
      </w:r>
      <w:r>
        <w:rPr>
          <w:rFonts w:cs="Arial"/>
          <w:sz w:val="24"/>
        </w:rPr>
        <w:t xml:space="preserve"> pl</w:t>
      </w:r>
      <w:r w:rsidR="00DE6A0B">
        <w:rPr>
          <w:rFonts w:cs="Arial"/>
          <w:sz w:val="24"/>
        </w:rPr>
        <w:t>ans is</w:t>
      </w:r>
      <w:r w:rsidR="00494476">
        <w:rPr>
          <w:rFonts w:cs="Arial"/>
          <w:sz w:val="24"/>
        </w:rPr>
        <w:t xml:space="preserve"> responsible for deductibles and co-pays.  There</w:t>
      </w:r>
      <w:r>
        <w:rPr>
          <w:rFonts w:cs="Arial"/>
          <w:sz w:val="24"/>
        </w:rPr>
        <w:t xml:space="preserve"> are </w:t>
      </w:r>
      <w:r w:rsidR="00494476">
        <w:rPr>
          <w:rFonts w:cs="Arial"/>
          <w:sz w:val="24"/>
        </w:rPr>
        <w:t>two ways this can be handled.</w:t>
      </w:r>
    </w:p>
    <w:p w:rsidR="00494476" w:rsidRDefault="00494476" w:rsidP="00092124">
      <w:pPr>
        <w:rPr>
          <w:rFonts w:cs="Arial"/>
          <w:sz w:val="24"/>
        </w:rPr>
      </w:pPr>
    </w:p>
    <w:p w:rsidR="00092124" w:rsidRDefault="00092124" w:rsidP="00092124">
      <w:pPr>
        <w:pStyle w:val="ListParagraph"/>
        <w:numPr>
          <w:ilvl w:val="0"/>
          <w:numId w:val="14"/>
        </w:numPr>
        <w:rPr>
          <w:rFonts w:cs="Arial"/>
          <w:sz w:val="24"/>
        </w:rPr>
      </w:pPr>
      <w:r>
        <w:rPr>
          <w:rFonts w:cs="Arial"/>
          <w:sz w:val="24"/>
        </w:rPr>
        <w:t>The youth, foster parent or placing agency pays the cost and are then reimbursed</w:t>
      </w:r>
      <w:r w:rsidR="000A14BD">
        <w:rPr>
          <w:rFonts w:cs="Arial"/>
          <w:sz w:val="24"/>
        </w:rPr>
        <w:t xml:space="preserve"> through the billing specialist, or</w:t>
      </w:r>
      <w:r>
        <w:rPr>
          <w:rFonts w:cs="Arial"/>
          <w:sz w:val="24"/>
        </w:rPr>
        <w:t xml:space="preserve"> </w:t>
      </w:r>
    </w:p>
    <w:p w:rsidR="00092124" w:rsidRDefault="00092124" w:rsidP="00092124">
      <w:pPr>
        <w:pStyle w:val="ListParagraph"/>
        <w:numPr>
          <w:ilvl w:val="0"/>
          <w:numId w:val="14"/>
        </w:numPr>
        <w:rPr>
          <w:rFonts w:cs="Arial"/>
          <w:sz w:val="24"/>
        </w:rPr>
      </w:pPr>
      <w:r>
        <w:rPr>
          <w:rFonts w:cs="Arial"/>
          <w:sz w:val="24"/>
        </w:rPr>
        <w:t>The provider bills the Cabinet directly and DAFM pays the provider directly t</w:t>
      </w:r>
      <w:r w:rsidR="00494476">
        <w:rPr>
          <w:rFonts w:cs="Arial"/>
          <w:sz w:val="24"/>
        </w:rPr>
        <w:t>hrough the billing specialist.</w:t>
      </w:r>
    </w:p>
    <w:p w:rsidR="009652EF" w:rsidRPr="00DE6A0B" w:rsidRDefault="00494476" w:rsidP="00494476">
      <w:pPr>
        <w:rPr>
          <w:rFonts w:eastAsia="Calibri" w:cs="Arial"/>
          <w:sz w:val="24"/>
        </w:rPr>
      </w:pPr>
      <w:r w:rsidRPr="00DE6A0B">
        <w:rPr>
          <w:rFonts w:eastAsia="Calibri" w:cs="Arial"/>
          <w:sz w:val="24"/>
        </w:rPr>
        <w:t xml:space="preserve">When a child leaves care or ages out, the insurance company is notified that the Cabinet is no longer responsible for the premium.  The youth is then given the option to continue payment personally, or the policy is cancelled.  </w:t>
      </w:r>
    </w:p>
    <w:p w:rsidR="00933459" w:rsidRPr="00DE6A0B" w:rsidRDefault="00320379" w:rsidP="00B8151B">
      <w:pPr>
        <w:rPr>
          <w:rFonts w:cs="Arial"/>
          <w:sz w:val="24"/>
        </w:rPr>
      </w:pPr>
      <w:r w:rsidRPr="00DE6A0B">
        <w:rPr>
          <w:rFonts w:cs="Arial"/>
          <w:sz w:val="24"/>
        </w:rPr>
        <w:t xml:space="preserve">  </w:t>
      </w:r>
    </w:p>
    <w:p w:rsidR="009843EC" w:rsidRPr="00DE6A0B" w:rsidRDefault="00494476" w:rsidP="00F24448">
      <w:pPr>
        <w:rPr>
          <w:rFonts w:cs="Arial"/>
          <w:sz w:val="24"/>
        </w:rPr>
      </w:pPr>
      <w:r w:rsidRPr="00DE6A0B">
        <w:rPr>
          <w:rFonts w:cs="Arial"/>
          <w:sz w:val="24"/>
        </w:rPr>
        <w:t>Any questions regarding Anthem or Kentucky Access should be addressed with the child</w:t>
      </w:r>
      <w:r w:rsidR="000A14BD">
        <w:rPr>
          <w:rFonts w:cs="Arial"/>
          <w:sz w:val="24"/>
        </w:rPr>
        <w:t xml:space="preserve">’s specific billing specialist.  </w:t>
      </w:r>
      <w:r w:rsidR="00625A19" w:rsidRPr="00DE6A0B">
        <w:rPr>
          <w:rFonts w:cs="Arial"/>
          <w:sz w:val="24"/>
        </w:rPr>
        <w:t xml:space="preserve">Any </w:t>
      </w:r>
      <w:r w:rsidR="009843EC" w:rsidRPr="00DE6A0B">
        <w:rPr>
          <w:rFonts w:cs="Arial"/>
          <w:sz w:val="24"/>
        </w:rPr>
        <w:t xml:space="preserve">questions concerning this </w:t>
      </w:r>
      <w:r w:rsidR="00892DFA" w:rsidRPr="00DE6A0B">
        <w:rPr>
          <w:rFonts w:cs="Arial"/>
          <w:sz w:val="24"/>
        </w:rPr>
        <w:t>transmittal</w:t>
      </w:r>
      <w:r w:rsidR="009843EC" w:rsidRPr="00DE6A0B">
        <w:rPr>
          <w:rFonts w:cs="Arial"/>
          <w:sz w:val="24"/>
        </w:rPr>
        <w:t xml:space="preserve"> </w:t>
      </w:r>
      <w:r w:rsidR="00625A19" w:rsidRPr="00DE6A0B">
        <w:rPr>
          <w:rFonts w:cs="Arial"/>
          <w:sz w:val="24"/>
        </w:rPr>
        <w:t>should be addressed to</w:t>
      </w:r>
      <w:r w:rsidR="00F24448" w:rsidRPr="00DE6A0B">
        <w:rPr>
          <w:rFonts w:cs="Arial"/>
          <w:color w:val="000000" w:themeColor="text1"/>
          <w:sz w:val="24"/>
        </w:rPr>
        <w:t xml:space="preserve"> </w:t>
      </w:r>
      <w:hyperlink r:id="rId8" w:history="1">
        <w:r w:rsidR="009843EC" w:rsidRPr="00DE6A0B">
          <w:rPr>
            <w:rStyle w:val="Hyperlink"/>
            <w:rFonts w:cs="Arial"/>
            <w:sz w:val="24"/>
          </w:rPr>
          <w:t>Julie.Cubert@ky.gov</w:t>
        </w:r>
      </w:hyperlink>
      <w:r w:rsidR="009843EC" w:rsidRPr="00DE6A0B">
        <w:rPr>
          <w:rFonts w:cs="Arial"/>
          <w:sz w:val="24"/>
        </w:rPr>
        <w:t xml:space="preserve">.  </w:t>
      </w:r>
    </w:p>
    <w:p w:rsidR="009843EC" w:rsidRPr="00DE6A0B" w:rsidRDefault="009843EC" w:rsidP="006417C2">
      <w:pPr>
        <w:rPr>
          <w:rFonts w:cs="Arial"/>
          <w:sz w:val="24"/>
        </w:rPr>
      </w:pPr>
    </w:p>
    <w:p w:rsidR="00F24448" w:rsidRPr="00DE6A0B" w:rsidRDefault="00F24448" w:rsidP="006417C2">
      <w:pPr>
        <w:rPr>
          <w:rFonts w:cs="Arial"/>
          <w:sz w:val="24"/>
        </w:rPr>
      </w:pPr>
    </w:p>
    <w:p w:rsidR="009843EC" w:rsidRPr="005A7618" w:rsidRDefault="009843EC" w:rsidP="006417C2">
      <w:pPr>
        <w:rPr>
          <w:rFonts w:cs="Arial"/>
          <w:sz w:val="24"/>
        </w:rPr>
      </w:pPr>
    </w:p>
    <w:p w:rsidR="009843EC" w:rsidRPr="005A7618" w:rsidRDefault="009843EC" w:rsidP="006417C2">
      <w:pPr>
        <w:rPr>
          <w:rFonts w:cs="Arial"/>
          <w:sz w:val="24"/>
        </w:rPr>
      </w:pPr>
      <w:r w:rsidRPr="005A7618">
        <w:rPr>
          <w:rFonts w:cs="Arial"/>
          <w:sz w:val="24"/>
        </w:rPr>
        <w:t xml:space="preserve">Sincerely, </w:t>
      </w:r>
    </w:p>
    <w:p w:rsidR="009843EC" w:rsidRPr="005A7618" w:rsidRDefault="009843EC" w:rsidP="006417C2">
      <w:pPr>
        <w:rPr>
          <w:rFonts w:cs="Arial"/>
          <w:sz w:val="24"/>
        </w:rPr>
      </w:pPr>
    </w:p>
    <w:p w:rsidR="009843EC" w:rsidRPr="005A7618" w:rsidRDefault="009843EC" w:rsidP="006417C2">
      <w:pPr>
        <w:rPr>
          <w:rFonts w:cs="Arial"/>
          <w:sz w:val="24"/>
        </w:rPr>
      </w:pPr>
    </w:p>
    <w:p w:rsidR="009843EC" w:rsidRPr="005A7618" w:rsidRDefault="009843EC" w:rsidP="006417C2">
      <w:pPr>
        <w:rPr>
          <w:rFonts w:cs="Arial"/>
          <w:sz w:val="24"/>
        </w:rPr>
      </w:pPr>
    </w:p>
    <w:p w:rsidR="009843EC" w:rsidRPr="005A7618" w:rsidRDefault="00A6596E" w:rsidP="006417C2">
      <w:pPr>
        <w:rPr>
          <w:rFonts w:cs="Arial"/>
          <w:sz w:val="24"/>
        </w:rPr>
      </w:pPr>
      <w:r w:rsidRPr="005A7618">
        <w:rPr>
          <w:rFonts w:cs="Arial"/>
          <w:sz w:val="24"/>
        </w:rPr>
        <w:t>Michael Cheek</w:t>
      </w:r>
    </w:p>
    <w:p w:rsidR="009843EC" w:rsidRPr="005A7618" w:rsidRDefault="009843EC" w:rsidP="006417C2">
      <w:pPr>
        <w:rPr>
          <w:rFonts w:cs="Arial"/>
          <w:sz w:val="24"/>
        </w:rPr>
      </w:pPr>
      <w:r w:rsidRPr="005A7618">
        <w:rPr>
          <w:rFonts w:cs="Arial"/>
          <w:sz w:val="24"/>
        </w:rPr>
        <w:t xml:space="preserve">Director </w:t>
      </w:r>
    </w:p>
    <w:p w:rsidR="00227F3F" w:rsidRPr="005A7618" w:rsidRDefault="00227F3F" w:rsidP="00227F3F">
      <w:pPr>
        <w:rPr>
          <w:rFonts w:cs="Arial"/>
          <w:sz w:val="24"/>
        </w:rPr>
      </w:pPr>
    </w:p>
    <w:sectPr w:rsidR="00227F3F" w:rsidRPr="005A7618" w:rsidSect="006417C2">
      <w:headerReference w:type="first" r:id="rId9"/>
      <w:footerReference w:type="first" r:id="rId10"/>
      <w:pgSz w:w="12240" w:h="15840" w:code="1"/>
      <w:pgMar w:top="1080"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97" w:rsidRDefault="00014697">
      <w:r>
        <w:separator/>
      </w:r>
    </w:p>
  </w:endnote>
  <w:endnote w:type="continuationSeparator" w:id="0">
    <w:p w:rsidR="00014697" w:rsidRDefault="0001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E2" w:rsidRDefault="00CE3CE2"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E2" w:rsidRDefault="00CE3CE2"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CE3CE2" w:rsidRDefault="00CE3CE2"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CE3CE2" w:rsidRPr="00524DAE" w:rsidRDefault="00CE3CE2"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97" w:rsidRDefault="00014697">
      <w:r>
        <w:separator/>
      </w:r>
    </w:p>
  </w:footnote>
  <w:footnote w:type="continuationSeparator" w:id="0">
    <w:p w:rsidR="00014697" w:rsidRDefault="0001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E2" w:rsidRDefault="00CE3CE2" w:rsidP="00797852">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E2" w:rsidRDefault="00CE3CE2"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CE3CE2" w:rsidRDefault="00CE3CE2"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CE3CE2" w:rsidRDefault="00CE3CE2" w:rsidP="00797852">
    <w:pPr>
      <w:tabs>
        <w:tab w:val="center" w:pos="5264"/>
      </w:tabs>
      <w:spacing w:line="220" w:lineRule="atLeast"/>
      <w:rPr>
        <w:sz w:val="20"/>
      </w:rPr>
    </w:pPr>
  </w:p>
  <w:p w:rsidR="00CE3CE2" w:rsidRDefault="00CE3CE2" w:rsidP="00797852">
    <w:pPr>
      <w:spacing w:line="220" w:lineRule="atLeast"/>
      <w:rPr>
        <w:sz w:val="20"/>
      </w:rPr>
    </w:pPr>
  </w:p>
  <w:p w:rsidR="00CE3CE2" w:rsidRDefault="00CE3CE2" w:rsidP="00797852">
    <w:pPr>
      <w:spacing w:line="260" w:lineRule="atLeast"/>
      <w:rPr>
        <w:rFonts w:ascii="TradeGothic LH BoldExtended" w:hAnsi="TradeGothic LH BoldExtended"/>
        <w:sz w:val="20"/>
      </w:rPr>
    </w:pPr>
  </w:p>
  <w:p w:rsidR="00CE3CE2" w:rsidRDefault="00CE3CE2" w:rsidP="00797852">
    <w:pPr>
      <w:spacing w:line="260" w:lineRule="atLeast"/>
      <w:rPr>
        <w:sz w:val="20"/>
      </w:rPr>
    </w:pPr>
  </w:p>
  <w:p w:rsidR="00CE3CE2" w:rsidRDefault="00CE3CE2" w:rsidP="00797852">
    <w:pPr>
      <w:spacing w:line="260" w:lineRule="atLeast"/>
      <w:rPr>
        <w:sz w:val="20"/>
      </w:rPr>
    </w:pPr>
  </w:p>
  <w:p w:rsidR="00CE3CE2" w:rsidRDefault="00CE3CE2" w:rsidP="00797852">
    <w:pPr>
      <w:spacing w:line="140" w:lineRule="atLeast"/>
      <w:rPr>
        <w:sz w:val="20"/>
      </w:rPr>
    </w:pPr>
  </w:p>
  <w:p w:rsidR="00CE3CE2" w:rsidRDefault="00CE3CE2" w:rsidP="00797852">
    <w:pPr>
      <w:pStyle w:val="CabDeptAgencytitle"/>
      <w:rPr>
        <w:b/>
        <w:bCs w:val="0"/>
        <w:w w:val="120"/>
      </w:rPr>
    </w:pPr>
    <w:r>
      <w:rPr>
        <w:b/>
        <w:bCs w:val="0"/>
        <w:w w:val="120"/>
      </w:rPr>
      <w:t>CABINET FOR HEALTH AND FAMILY SERVICES</w:t>
    </w:r>
  </w:p>
  <w:p w:rsidR="00CE3CE2" w:rsidRDefault="00CE3CE2" w:rsidP="00797852">
    <w:pPr>
      <w:pStyle w:val="CabDeptAgencytitle"/>
      <w:rPr>
        <w:b/>
        <w:w w:val="120"/>
      </w:rPr>
    </w:pPr>
    <w:r>
      <w:rPr>
        <w:b/>
        <w:w w:val="120"/>
      </w:rPr>
      <w:t>OFFICE OF THE SECRETARY</w:t>
    </w:r>
  </w:p>
  <w:p w:rsidR="00CE3CE2" w:rsidRDefault="00CE3CE2"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E2" w:rsidRDefault="00CE3CE2" w:rsidP="00797852">
                          <w:pPr>
                            <w:pStyle w:val="Address"/>
                          </w:pPr>
                          <w:r>
                            <w:t>275 East Main Street, 5W-A</w:t>
                          </w:r>
                        </w:p>
                        <w:p w:rsidR="00CE3CE2" w:rsidRDefault="00CE3CE2" w:rsidP="00797852">
                          <w:pPr>
                            <w:pStyle w:val="Address"/>
                          </w:pPr>
                          <w:r>
                            <w:t>Frankfort, KY  40621</w:t>
                          </w:r>
                        </w:p>
                        <w:p w:rsidR="00CE3CE2" w:rsidRDefault="00CE3CE2" w:rsidP="00797852">
                          <w:pPr>
                            <w:pStyle w:val="Address"/>
                          </w:pPr>
                          <w:r>
                            <w:t>502-564-7042</w:t>
                          </w:r>
                        </w:p>
                        <w:p w:rsidR="00CE3CE2" w:rsidRDefault="00CE3CE2" w:rsidP="00797852">
                          <w:pPr>
                            <w:pStyle w:val="Address"/>
                          </w:pPr>
                          <w:r>
                            <w:t>502-564-7091</w:t>
                          </w:r>
                        </w:p>
                        <w:p w:rsidR="00CE3CE2" w:rsidRDefault="00CE3CE2"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CE3CE2" w:rsidRDefault="00CE3CE2" w:rsidP="00797852">
                    <w:pPr>
                      <w:pStyle w:val="Address"/>
                    </w:pPr>
                    <w:r>
                      <w:t>275 East Main Street, 5W-A</w:t>
                    </w:r>
                  </w:p>
                  <w:p w:rsidR="00CE3CE2" w:rsidRDefault="00CE3CE2" w:rsidP="00797852">
                    <w:pPr>
                      <w:pStyle w:val="Address"/>
                    </w:pPr>
                    <w:r>
                      <w:t>Frankfort, KY  40621</w:t>
                    </w:r>
                  </w:p>
                  <w:p w:rsidR="00CE3CE2" w:rsidRDefault="00CE3CE2" w:rsidP="00797852">
                    <w:pPr>
                      <w:pStyle w:val="Address"/>
                    </w:pPr>
                    <w:r>
                      <w:t>502-564-7042</w:t>
                    </w:r>
                  </w:p>
                  <w:p w:rsidR="00CE3CE2" w:rsidRDefault="00CE3CE2" w:rsidP="00797852">
                    <w:pPr>
                      <w:pStyle w:val="Address"/>
                    </w:pPr>
                    <w:r>
                      <w:t>502-564-7091</w:t>
                    </w:r>
                  </w:p>
                  <w:p w:rsidR="00CE3CE2" w:rsidRDefault="00CE3CE2" w:rsidP="00797852">
                    <w:pPr>
                      <w:pStyle w:val="Address"/>
                    </w:pPr>
                    <w:r>
                      <w:t>www.chfs.ky.gov</w:t>
                    </w:r>
                  </w:p>
                </w:txbxContent>
              </v:textbox>
            </v:shape>
          </w:pict>
        </mc:Fallback>
      </mc:AlternateContent>
    </w:r>
  </w:p>
  <w:p w:rsidR="00CE3CE2" w:rsidRDefault="00CE3CE2"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CE3CE2" w:rsidRDefault="00CE3CE2" w:rsidP="0069732D">
    <w:pPr>
      <w:pStyle w:val="GovSecretaryDeputySectilte"/>
      <w:tabs>
        <w:tab w:val="clear" w:pos="10944"/>
        <w:tab w:val="center" w:pos="8730"/>
      </w:tabs>
      <w:ind w:right="-267"/>
    </w:pPr>
    <w:r>
      <w:t>Governor</w:t>
    </w:r>
    <w:r>
      <w:tab/>
      <w:t xml:space="preserve">                    Secretary</w:t>
    </w:r>
  </w:p>
  <w:p w:rsidR="00CE3CE2" w:rsidRDefault="00CE3CE2" w:rsidP="00797852">
    <w:pPr>
      <w:pStyle w:val="GovSecretaryDeputySecname"/>
    </w:pPr>
  </w:p>
  <w:p w:rsidR="00CE3CE2" w:rsidRDefault="00CE3CE2" w:rsidP="00797852">
    <w:pPr>
      <w:pStyle w:val="GovSecretaryDeputySectilte"/>
    </w:pPr>
    <w:r>
      <w:tab/>
    </w:r>
  </w:p>
  <w:p w:rsidR="00CE3CE2" w:rsidRPr="00797852" w:rsidRDefault="00CE3CE2"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ED"/>
    <w:multiLevelType w:val="hybridMultilevel"/>
    <w:tmpl w:val="3B103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C36D02"/>
    <w:multiLevelType w:val="hybridMultilevel"/>
    <w:tmpl w:val="7990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D4FA7"/>
    <w:multiLevelType w:val="multilevel"/>
    <w:tmpl w:val="1A92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2"/>
  </w:num>
  <w:num w:numId="5">
    <w:abstractNumId w:val="11"/>
  </w:num>
  <w:num w:numId="6">
    <w:abstractNumId w:val="5"/>
  </w:num>
  <w:num w:numId="7">
    <w:abstractNumId w:val="3"/>
  </w:num>
  <w:num w:numId="8">
    <w:abstractNumId w:val="7"/>
  </w:num>
  <w:num w:numId="9">
    <w:abstractNumId w:val="8"/>
  </w:num>
  <w:num w:numId="10">
    <w:abstractNumId w:val="1"/>
  </w:num>
  <w:num w:numId="11">
    <w:abstractNumId w:val="6"/>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4697"/>
    <w:rsid w:val="000338B5"/>
    <w:rsid w:val="00064DEC"/>
    <w:rsid w:val="00072FBF"/>
    <w:rsid w:val="00092124"/>
    <w:rsid w:val="000A14BD"/>
    <w:rsid w:val="000C65CA"/>
    <w:rsid w:val="000C668E"/>
    <w:rsid w:val="000E3849"/>
    <w:rsid w:val="000E6D79"/>
    <w:rsid w:val="0017490F"/>
    <w:rsid w:val="00181E52"/>
    <w:rsid w:val="00191703"/>
    <w:rsid w:val="001934E5"/>
    <w:rsid w:val="001D6A40"/>
    <w:rsid w:val="001F3FE8"/>
    <w:rsid w:val="00202F1C"/>
    <w:rsid w:val="002041FF"/>
    <w:rsid w:val="00220749"/>
    <w:rsid w:val="002257A4"/>
    <w:rsid w:val="00225B33"/>
    <w:rsid w:val="0022604C"/>
    <w:rsid w:val="00227F3F"/>
    <w:rsid w:val="00237F32"/>
    <w:rsid w:val="0024483B"/>
    <w:rsid w:val="00266687"/>
    <w:rsid w:val="00280D3D"/>
    <w:rsid w:val="0029094B"/>
    <w:rsid w:val="002C690C"/>
    <w:rsid w:val="002D29D3"/>
    <w:rsid w:val="002D5CBA"/>
    <w:rsid w:val="002E26B7"/>
    <w:rsid w:val="002E617B"/>
    <w:rsid w:val="003134FB"/>
    <w:rsid w:val="00314852"/>
    <w:rsid w:val="00320379"/>
    <w:rsid w:val="00322E22"/>
    <w:rsid w:val="003758DD"/>
    <w:rsid w:val="00387552"/>
    <w:rsid w:val="00394C5A"/>
    <w:rsid w:val="003C0AEC"/>
    <w:rsid w:val="003C10B5"/>
    <w:rsid w:val="003C5712"/>
    <w:rsid w:val="003D1987"/>
    <w:rsid w:val="003D5657"/>
    <w:rsid w:val="003F166A"/>
    <w:rsid w:val="0040043A"/>
    <w:rsid w:val="00427A0E"/>
    <w:rsid w:val="00436673"/>
    <w:rsid w:val="00494476"/>
    <w:rsid w:val="004A082C"/>
    <w:rsid w:val="004A3652"/>
    <w:rsid w:val="004B348F"/>
    <w:rsid w:val="005135DD"/>
    <w:rsid w:val="0052108B"/>
    <w:rsid w:val="00524DAE"/>
    <w:rsid w:val="00532EBB"/>
    <w:rsid w:val="00541EA0"/>
    <w:rsid w:val="005524AC"/>
    <w:rsid w:val="00560F32"/>
    <w:rsid w:val="00585967"/>
    <w:rsid w:val="005922E1"/>
    <w:rsid w:val="005A073E"/>
    <w:rsid w:val="005A7618"/>
    <w:rsid w:val="005B2FBA"/>
    <w:rsid w:val="005B700D"/>
    <w:rsid w:val="005E37B5"/>
    <w:rsid w:val="005F1332"/>
    <w:rsid w:val="00601ECA"/>
    <w:rsid w:val="00625A19"/>
    <w:rsid w:val="00626F38"/>
    <w:rsid w:val="00633FA6"/>
    <w:rsid w:val="0063467E"/>
    <w:rsid w:val="006417C2"/>
    <w:rsid w:val="0066589B"/>
    <w:rsid w:val="0069732D"/>
    <w:rsid w:val="006A7CD8"/>
    <w:rsid w:val="006B2951"/>
    <w:rsid w:val="006B3577"/>
    <w:rsid w:val="006B377A"/>
    <w:rsid w:val="006C43DA"/>
    <w:rsid w:val="006C76F7"/>
    <w:rsid w:val="006E13C9"/>
    <w:rsid w:val="007171EB"/>
    <w:rsid w:val="00741AE2"/>
    <w:rsid w:val="00742CC9"/>
    <w:rsid w:val="007621F7"/>
    <w:rsid w:val="00785D40"/>
    <w:rsid w:val="00792735"/>
    <w:rsid w:val="00797852"/>
    <w:rsid w:val="007A0FC9"/>
    <w:rsid w:val="007B16CD"/>
    <w:rsid w:val="007D217B"/>
    <w:rsid w:val="007F5F6E"/>
    <w:rsid w:val="00814B8C"/>
    <w:rsid w:val="0081658E"/>
    <w:rsid w:val="00841387"/>
    <w:rsid w:val="00855591"/>
    <w:rsid w:val="00867DE4"/>
    <w:rsid w:val="00892DFA"/>
    <w:rsid w:val="008A33B7"/>
    <w:rsid w:val="008A414C"/>
    <w:rsid w:val="008B3A76"/>
    <w:rsid w:val="008B7EFF"/>
    <w:rsid w:val="008C09F2"/>
    <w:rsid w:val="008D02D6"/>
    <w:rsid w:val="008D6F4E"/>
    <w:rsid w:val="008F2A50"/>
    <w:rsid w:val="00912801"/>
    <w:rsid w:val="00923E87"/>
    <w:rsid w:val="00924D99"/>
    <w:rsid w:val="00925134"/>
    <w:rsid w:val="00933459"/>
    <w:rsid w:val="009651EB"/>
    <w:rsid w:val="009652EF"/>
    <w:rsid w:val="009843EC"/>
    <w:rsid w:val="009903D1"/>
    <w:rsid w:val="00992582"/>
    <w:rsid w:val="009B40EE"/>
    <w:rsid w:val="009B7823"/>
    <w:rsid w:val="009E026F"/>
    <w:rsid w:val="009E638F"/>
    <w:rsid w:val="009F65C4"/>
    <w:rsid w:val="00A07E8E"/>
    <w:rsid w:val="00A15CB9"/>
    <w:rsid w:val="00A269C2"/>
    <w:rsid w:val="00A4613D"/>
    <w:rsid w:val="00A6596E"/>
    <w:rsid w:val="00A73643"/>
    <w:rsid w:val="00AC036F"/>
    <w:rsid w:val="00AE21C3"/>
    <w:rsid w:val="00B33CC2"/>
    <w:rsid w:val="00B364EA"/>
    <w:rsid w:val="00B428A3"/>
    <w:rsid w:val="00B434D8"/>
    <w:rsid w:val="00B56785"/>
    <w:rsid w:val="00B8151B"/>
    <w:rsid w:val="00B82F96"/>
    <w:rsid w:val="00B85E7C"/>
    <w:rsid w:val="00BA176E"/>
    <w:rsid w:val="00BC21CE"/>
    <w:rsid w:val="00BC3AD0"/>
    <w:rsid w:val="00BC67F5"/>
    <w:rsid w:val="00BF1D9F"/>
    <w:rsid w:val="00BF3A23"/>
    <w:rsid w:val="00C10849"/>
    <w:rsid w:val="00C120F0"/>
    <w:rsid w:val="00C1319F"/>
    <w:rsid w:val="00C61146"/>
    <w:rsid w:val="00C64E29"/>
    <w:rsid w:val="00C66601"/>
    <w:rsid w:val="00C71490"/>
    <w:rsid w:val="00C81A66"/>
    <w:rsid w:val="00C84488"/>
    <w:rsid w:val="00C847BD"/>
    <w:rsid w:val="00CC1C59"/>
    <w:rsid w:val="00CE3CE2"/>
    <w:rsid w:val="00D03318"/>
    <w:rsid w:val="00D03565"/>
    <w:rsid w:val="00D04128"/>
    <w:rsid w:val="00D070A4"/>
    <w:rsid w:val="00D351DF"/>
    <w:rsid w:val="00D3596D"/>
    <w:rsid w:val="00D44466"/>
    <w:rsid w:val="00D544E0"/>
    <w:rsid w:val="00D55AC9"/>
    <w:rsid w:val="00D5798D"/>
    <w:rsid w:val="00D62EDF"/>
    <w:rsid w:val="00D73EAC"/>
    <w:rsid w:val="00D90CE7"/>
    <w:rsid w:val="00D9414D"/>
    <w:rsid w:val="00D95B48"/>
    <w:rsid w:val="00D97958"/>
    <w:rsid w:val="00DB0D30"/>
    <w:rsid w:val="00DB2256"/>
    <w:rsid w:val="00DD0743"/>
    <w:rsid w:val="00DE2CED"/>
    <w:rsid w:val="00DE6A0B"/>
    <w:rsid w:val="00DE77E4"/>
    <w:rsid w:val="00DF3E1E"/>
    <w:rsid w:val="00DF68FF"/>
    <w:rsid w:val="00E20432"/>
    <w:rsid w:val="00E367CE"/>
    <w:rsid w:val="00E407CB"/>
    <w:rsid w:val="00E50F01"/>
    <w:rsid w:val="00E5548F"/>
    <w:rsid w:val="00E67BEF"/>
    <w:rsid w:val="00E926E2"/>
    <w:rsid w:val="00E929A5"/>
    <w:rsid w:val="00E93EA8"/>
    <w:rsid w:val="00EB0FEF"/>
    <w:rsid w:val="00ED2310"/>
    <w:rsid w:val="00EE34D6"/>
    <w:rsid w:val="00EF4E8E"/>
    <w:rsid w:val="00F0079B"/>
    <w:rsid w:val="00F035C1"/>
    <w:rsid w:val="00F24448"/>
    <w:rsid w:val="00F24449"/>
    <w:rsid w:val="00F27813"/>
    <w:rsid w:val="00F30990"/>
    <w:rsid w:val="00F30C9C"/>
    <w:rsid w:val="00F36945"/>
    <w:rsid w:val="00F70416"/>
    <w:rsid w:val="00FB3695"/>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135">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979576077">
      <w:bodyDiv w:val="1"/>
      <w:marLeft w:val="0"/>
      <w:marRight w:val="0"/>
      <w:marTop w:val="0"/>
      <w:marBottom w:val="0"/>
      <w:divBdr>
        <w:top w:val="none" w:sz="0" w:space="0" w:color="auto"/>
        <w:left w:val="none" w:sz="0" w:space="0" w:color="auto"/>
        <w:bottom w:val="none" w:sz="0" w:space="0" w:color="auto"/>
        <w:right w:val="none" w:sz="0" w:space="0" w:color="auto"/>
      </w:divBdr>
    </w:div>
    <w:div w:id="1356272289">
      <w:bodyDiv w:val="1"/>
      <w:marLeft w:val="0"/>
      <w:marRight w:val="0"/>
      <w:marTop w:val="0"/>
      <w:marBottom w:val="0"/>
      <w:divBdr>
        <w:top w:val="none" w:sz="0" w:space="0" w:color="auto"/>
        <w:left w:val="none" w:sz="0" w:space="0" w:color="auto"/>
        <w:bottom w:val="none" w:sz="0" w:space="0" w:color="auto"/>
        <w:right w:val="none" w:sz="0" w:space="0" w:color="auto"/>
      </w:divBdr>
      <w:divsChild>
        <w:div w:id="751661269">
          <w:marLeft w:val="0"/>
          <w:marRight w:val="0"/>
          <w:marTop w:val="0"/>
          <w:marBottom w:val="0"/>
          <w:divBdr>
            <w:top w:val="none" w:sz="0" w:space="0" w:color="auto"/>
            <w:left w:val="none" w:sz="0" w:space="0" w:color="auto"/>
            <w:bottom w:val="none" w:sz="0" w:space="0" w:color="auto"/>
            <w:right w:val="none" w:sz="0" w:space="0" w:color="auto"/>
          </w:divBdr>
          <w:divsChild>
            <w:div w:id="1586110557">
              <w:marLeft w:val="0"/>
              <w:marRight w:val="0"/>
              <w:marTop w:val="0"/>
              <w:marBottom w:val="0"/>
              <w:divBdr>
                <w:top w:val="none" w:sz="0" w:space="0" w:color="auto"/>
                <w:left w:val="none" w:sz="0" w:space="0" w:color="auto"/>
                <w:bottom w:val="none" w:sz="0" w:space="0" w:color="auto"/>
                <w:right w:val="none" w:sz="0" w:space="0" w:color="auto"/>
              </w:divBdr>
              <w:divsChild>
                <w:div w:id="260186867">
                  <w:marLeft w:val="0"/>
                  <w:marRight w:val="0"/>
                  <w:marTop w:val="0"/>
                  <w:marBottom w:val="0"/>
                  <w:divBdr>
                    <w:top w:val="none" w:sz="0" w:space="0" w:color="auto"/>
                    <w:left w:val="none" w:sz="0" w:space="0" w:color="auto"/>
                    <w:bottom w:val="none" w:sz="0" w:space="0" w:color="auto"/>
                    <w:right w:val="none" w:sz="0" w:space="0" w:color="auto"/>
                  </w:divBdr>
                  <w:divsChild>
                    <w:div w:id="1682466673">
                      <w:marLeft w:val="0"/>
                      <w:marRight w:val="0"/>
                      <w:marTop w:val="0"/>
                      <w:marBottom w:val="0"/>
                      <w:divBdr>
                        <w:top w:val="none" w:sz="0" w:space="0" w:color="auto"/>
                        <w:left w:val="none" w:sz="0" w:space="0" w:color="auto"/>
                        <w:bottom w:val="none" w:sz="0" w:space="0" w:color="auto"/>
                        <w:right w:val="none" w:sz="0" w:space="0" w:color="auto"/>
                      </w:divBdr>
                      <w:divsChild>
                        <w:div w:id="4615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9537">
      <w:bodyDiv w:val="1"/>
      <w:marLeft w:val="0"/>
      <w:marRight w:val="0"/>
      <w:marTop w:val="0"/>
      <w:marBottom w:val="0"/>
      <w:divBdr>
        <w:top w:val="none" w:sz="0" w:space="0" w:color="auto"/>
        <w:left w:val="none" w:sz="0" w:space="0" w:color="auto"/>
        <w:bottom w:val="none" w:sz="0" w:space="0" w:color="auto"/>
        <w:right w:val="none" w:sz="0" w:space="0" w:color="auto"/>
      </w:divBdr>
      <w:divsChild>
        <w:div w:id="1783458172">
          <w:marLeft w:val="0"/>
          <w:marRight w:val="0"/>
          <w:marTop w:val="0"/>
          <w:marBottom w:val="0"/>
          <w:divBdr>
            <w:top w:val="none" w:sz="0" w:space="0" w:color="auto"/>
            <w:left w:val="none" w:sz="0" w:space="0" w:color="auto"/>
            <w:bottom w:val="none" w:sz="0" w:space="0" w:color="auto"/>
            <w:right w:val="none" w:sz="0" w:space="0" w:color="auto"/>
          </w:divBdr>
          <w:divsChild>
            <w:div w:id="1294141867">
              <w:marLeft w:val="0"/>
              <w:marRight w:val="0"/>
              <w:marTop w:val="0"/>
              <w:marBottom w:val="0"/>
              <w:divBdr>
                <w:top w:val="none" w:sz="0" w:space="0" w:color="auto"/>
                <w:left w:val="none" w:sz="0" w:space="0" w:color="auto"/>
                <w:bottom w:val="none" w:sz="0" w:space="0" w:color="auto"/>
                <w:right w:val="none" w:sz="0" w:space="0" w:color="auto"/>
              </w:divBdr>
              <w:divsChild>
                <w:div w:id="931089962">
                  <w:marLeft w:val="0"/>
                  <w:marRight w:val="0"/>
                  <w:marTop w:val="0"/>
                  <w:marBottom w:val="0"/>
                  <w:divBdr>
                    <w:top w:val="none" w:sz="0" w:space="0" w:color="auto"/>
                    <w:left w:val="none" w:sz="0" w:space="0" w:color="auto"/>
                    <w:bottom w:val="none" w:sz="0" w:space="0" w:color="auto"/>
                    <w:right w:val="none" w:sz="0" w:space="0" w:color="auto"/>
                  </w:divBdr>
                  <w:divsChild>
                    <w:div w:id="1032799528">
                      <w:marLeft w:val="0"/>
                      <w:marRight w:val="0"/>
                      <w:marTop w:val="0"/>
                      <w:marBottom w:val="0"/>
                      <w:divBdr>
                        <w:top w:val="none" w:sz="0" w:space="0" w:color="auto"/>
                        <w:left w:val="none" w:sz="0" w:space="0" w:color="auto"/>
                        <w:bottom w:val="none" w:sz="0" w:space="0" w:color="auto"/>
                        <w:right w:val="none" w:sz="0" w:space="0" w:color="auto"/>
                      </w:divBdr>
                      <w:divsChild>
                        <w:div w:id="509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00366">
      <w:bodyDiv w:val="1"/>
      <w:marLeft w:val="0"/>
      <w:marRight w:val="0"/>
      <w:marTop w:val="0"/>
      <w:marBottom w:val="0"/>
      <w:divBdr>
        <w:top w:val="none" w:sz="0" w:space="0" w:color="auto"/>
        <w:left w:val="none" w:sz="0" w:space="0" w:color="auto"/>
        <w:bottom w:val="none" w:sz="0" w:space="0" w:color="auto"/>
        <w:right w:val="none" w:sz="0" w:space="0" w:color="auto"/>
      </w:divBdr>
    </w:div>
    <w:div w:id="21261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ubert@ky.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33033-5CD7-4A05-9A78-CA40E62A02B1}"/>
</file>

<file path=customXml/itemProps2.xml><?xml version="1.0" encoding="utf-8"?>
<ds:datastoreItem xmlns:ds="http://schemas.openxmlformats.org/officeDocument/2006/customXml" ds:itemID="{24D0F246-9590-4947-94AE-324C4BF0639C}"/>
</file>

<file path=customXml/itemProps3.xml><?xml version="1.0" encoding="utf-8"?>
<ds:datastoreItem xmlns:ds="http://schemas.openxmlformats.org/officeDocument/2006/customXml" ds:itemID="{5E6F99A1-DCE0-4AFE-8148-565DBB98E9B2}"/>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12-12 Health Insurance for Youth 19 and Older on Extended Commitment</dc:title>
  <dc:creator>Beth.Holbrook</dc:creator>
  <cp:lastModifiedBy>lisar.smith</cp:lastModifiedBy>
  <cp:revision>2</cp:revision>
  <cp:lastPrinted>2012-10-09T17:33:00Z</cp:lastPrinted>
  <dcterms:created xsi:type="dcterms:W3CDTF">2012-10-30T16:53:00Z</dcterms:created>
  <dcterms:modified xsi:type="dcterms:W3CDTF">2012-10-30T16:53:00Z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CCT</vt:lpwstr>
  </property>
  <property fmtid="{D5CDD505-2E9C-101B-9397-08002B2CF9AE}" pid="13" name="Types">
    <vt:lpwstr>Memo</vt:lpwstr>
  </property>
</Properties>
</file>